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81EC5" w14:textId="77777777" w:rsidR="00DF7C44" w:rsidRPr="00DF7C44" w:rsidRDefault="00DF7C44" w:rsidP="00BF2C9A">
      <w:pPr>
        <w:jc w:val="both"/>
      </w:pPr>
    </w:p>
    <w:p w14:paraId="7CD1B7A9" w14:textId="312B075F" w:rsidR="003A17A3" w:rsidRDefault="003A17A3" w:rsidP="003A17A3">
      <w:pPr>
        <w:spacing w:after="160" w:line="256" w:lineRule="auto"/>
        <w:jc w:val="center"/>
        <w:outlineLvl w:val="0"/>
        <w:rPr>
          <w:rFonts w:eastAsia="Calibri" w:cstheme="minorHAnsi"/>
          <w:b/>
        </w:rPr>
      </w:pPr>
      <w:r>
        <w:rPr>
          <w:rFonts w:eastAsia="Calibri" w:cs="Times New Roman"/>
          <w:b/>
        </w:rPr>
        <w:t xml:space="preserve">PROJECT NO. </w:t>
      </w:r>
      <w:r w:rsidRPr="006F1C3F">
        <w:rPr>
          <w:rFonts w:eastAsia="Calibri" w:cstheme="minorHAnsi"/>
          <w:b/>
        </w:rPr>
        <w:t>5</w:t>
      </w:r>
      <w:r w:rsidR="006F1C3F" w:rsidRPr="006F1C3F">
        <w:rPr>
          <w:rFonts w:eastAsia="Calibri" w:cstheme="minorHAnsi"/>
          <w:b/>
        </w:rPr>
        <w:t>4335</w:t>
      </w:r>
    </w:p>
    <w:p w14:paraId="5AC69B48" w14:textId="77777777" w:rsidR="00514797" w:rsidRDefault="00514797" w:rsidP="003A17A3">
      <w:pPr>
        <w:spacing w:after="160" w:line="256" w:lineRule="auto"/>
        <w:jc w:val="center"/>
        <w:outlineLvl w:val="0"/>
        <w:rPr>
          <w:rFonts w:eastAsia="Calibri" w:cs="Times New Roman"/>
          <w:b/>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360"/>
        <w:gridCol w:w="4495"/>
      </w:tblGrid>
      <w:tr w:rsidR="003A17A3" w14:paraId="7A97D0BD" w14:textId="77777777" w:rsidTr="003A17A3">
        <w:tc>
          <w:tcPr>
            <w:tcW w:w="4495" w:type="dxa"/>
          </w:tcPr>
          <w:p w14:paraId="147FD2CC" w14:textId="1E827755" w:rsidR="003A17A3" w:rsidRPr="006F1C3F" w:rsidRDefault="003A17A3">
            <w:pPr>
              <w:rPr>
                <w:rFonts w:asciiTheme="minorHAnsi" w:eastAsia="Calibri" w:hAnsiTheme="minorHAnsi" w:cstheme="minorHAnsi"/>
                <w:b/>
                <w:sz w:val="24"/>
                <w:szCs w:val="24"/>
              </w:rPr>
            </w:pPr>
            <w:bookmarkStart w:id="0" w:name="_Hlk79142063"/>
            <w:r w:rsidRPr="006F1C3F">
              <w:rPr>
                <w:rFonts w:asciiTheme="minorHAnsi" w:eastAsia="Calibri" w:hAnsiTheme="minorHAnsi" w:cstheme="minorHAnsi"/>
                <w:b/>
                <w:sz w:val="24"/>
                <w:szCs w:val="24"/>
              </w:rPr>
              <w:t xml:space="preserve">REVIEW OF </w:t>
            </w:r>
            <w:r w:rsidR="006F1C3F" w:rsidRPr="006F1C3F">
              <w:rPr>
                <w:rFonts w:asciiTheme="minorHAnsi" w:eastAsia="Calibri" w:hAnsiTheme="minorHAnsi" w:cstheme="minorHAnsi"/>
                <w:b/>
                <w:sz w:val="24"/>
                <w:szCs w:val="24"/>
              </w:rPr>
              <w:t>MARKET REFORM ASSESSMENT PRODUCED BY ENERGY AND ENVIRONMENTAL ECONOMICS, INC. (E3)</w:t>
            </w:r>
          </w:p>
          <w:p w14:paraId="06C68E17" w14:textId="77777777" w:rsidR="003A17A3" w:rsidRPr="006F1C3F" w:rsidRDefault="003A17A3">
            <w:pPr>
              <w:rPr>
                <w:rFonts w:asciiTheme="minorHAnsi" w:eastAsia="Calibri" w:hAnsiTheme="minorHAnsi" w:cstheme="minorHAnsi"/>
                <w:b/>
                <w:sz w:val="24"/>
                <w:szCs w:val="24"/>
              </w:rPr>
            </w:pPr>
          </w:p>
        </w:tc>
        <w:tc>
          <w:tcPr>
            <w:tcW w:w="360" w:type="dxa"/>
            <w:hideMark/>
          </w:tcPr>
          <w:p w14:paraId="0A45C1C1" w14:textId="77777777" w:rsidR="003A17A3" w:rsidRPr="006F1C3F" w:rsidRDefault="003A17A3">
            <w:pPr>
              <w:jc w:val="center"/>
              <w:rPr>
                <w:rFonts w:asciiTheme="minorHAnsi" w:eastAsia="Calibri" w:hAnsiTheme="minorHAnsi" w:cstheme="minorHAnsi"/>
                <w:b/>
                <w:sz w:val="24"/>
                <w:szCs w:val="24"/>
              </w:rPr>
            </w:pPr>
            <w:r w:rsidRPr="006F1C3F">
              <w:rPr>
                <w:rFonts w:asciiTheme="minorHAnsi" w:eastAsia="Calibri" w:hAnsiTheme="minorHAnsi" w:cstheme="minorHAnsi"/>
                <w:b/>
                <w:sz w:val="24"/>
                <w:szCs w:val="24"/>
              </w:rPr>
              <w:t>§</w:t>
            </w:r>
          </w:p>
          <w:p w14:paraId="3126C1D6" w14:textId="77777777" w:rsidR="003A17A3" w:rsidRPr="006F1C3F" w:rsidRDefault="003A17A3">
            <w:pPr>
              <w:jc w:val="center"/>
              <w:rPr>
                <w:rFonts w:asciiTheme="minorHAnsi" w:eastAsia="Calibri" w:hAnsiTheme="minorHAnsi" w:cstheme="minorHAnsi"/>
                <w:b/>
                <w:sz w:val="24"/>
                <w:szCs w:val="24"/>
              </w:rPr>
            </w:pPr>
            <w:r w:rsidRPr="006F1C3F">
              <w:rPr>
                <w:rFonts w:asciiTheme="minorHAnsi" w:eastAsia="Calibri" w:hAnsiTheme="minorHAnsi" w:cstheme="minorHAnsi"/>
                <w:b/>
                <w:sz w:val="24"/>
                <w:szCs w:val="24"/>
              </w:rPr>
              <w:t>§</w:t>
            </w:r>
          </w:p>
        </w:tc>
        <w:tc>
          <w:tcPr>
            <w:tcW w:w="4495" w:type="dxa"/>
            <w:hideMark/>
          </w:tcPr>
          <w:p w14:paraId="36E6F57A" w14:textId="77777777" w:rsidR="003A17A3" w:rsidRPr="006F1C3F" w:rsidRDefault="003A17A3">
            <w:pPr>
              <w:jc w:val="center"/>
              <w:rPr>
                <w:rFonts w:asciiTheme="minorHAnsi" w:eastAsia="Calibri" w:hAnsiTheme="minorHAnsi" w:cstheme="minorHAnsi"/>
                <w:b/>
                <w:sz w:val="24"/>
                <w:szCs w:val="24"/>
              </w:rPr>
            </w:pPr>
            <w:r w:rsidRPr="006F1C3F">
              <w:rPr>
                <w:rFonts w:asciiTheme="minorHAnsi" w:eastAsia="Calibri" w:hAnsiTheme="minorHAnsi" w:cstheme="minorHAnsi"/>
                <w:b/>
                <w:sz w:val="24"/>
                <w:szCs w:val="24"/>
              </w:rPr>
              <w:t>PUBLIC UTILITY COMMISSION</w:t>
            </w:r>
          </w:p>
          <w:p w14:paraId="55640EC7" w14:textId="77777777" w:rsidR="003A17A3" w:rsidRPr="006F1C3F" w:rsidRDefault="003A17A3">
            <w:pPr>
              <w:jc w:val="center"/>
              <w:rPr>
                <w:rFonts w:asciiTheme="minorHAnsi" w:eastAsia="Calibri" w:hAnsiTheme="minorHAnsi" w:cstheme="minorHAnsi"/>
                <w:b/>
                <w:sz w:val="24"/>
                <w:szCs w:val="24"/>
              </w:rPr>
            </w:pPr>
            <w:r w:rsidRPr="006F1C3F">
              <w:rPr>
                <w:rFonts w:asciiTheme="minorHAnsi" w:eastAsia="Calibri" w:hAnsiTheme="minorHAnsi" w:cstheme="minorHAnsi"/>
                <w:b/>
                <w:sz w:val="24"/>
                <w:szCs w:val="24"/>
              </w:rPr>
              <w:t>OF TEXAS</w:t>
            </w:r>
          </w:p>
        </w:tc>
        <w:bookmarkEnd w:id="0"/>
      </w:tr>
    </w:tbl>
    <w:p w14:paraId="24E824C3" w14:textId="3FD5FCA1" w:rsidR="00962B01" w:rsidRDefault="00962B01" w:rsidP="00BF5DCC">
      <w:pPr>
        <w:jc w:val="center"/>
        <w:rPr>
          <w:b/>
        </w:rPr>
      </w:pPr>
    </w:p>
    <w:p w14:paraId="67A5EB30" w14:textId="77777777" w:rsidR="00493EF0" w:rsidRDefault="00493EF0" w:rsidP="00506BBE">
      <w:pPr>
        <w:rPr>
          <w:b/>
        </w:rPr>
      </w:pPr>
    </w:p>
    <w:p w14:paraId="54F6E455" w14:textId="5F78CE6F" w:rsidR="00DF7C44" w:rsidRDefault="00DF7C44" w:rsidP="00BF5DCC">
      <w:pPr>
        <w:jc w:val="center"/>
        <w:rPr>
          <w:b/>
          <w:bCs/>
        </w:rPr>
      </w:pPr>
      <w:r>
        <w:rPr>
          <w:b/>
          <w:bCs/>
        </w:rPr>
        <w:t>C</w:t>
      </w:r>
      <w:r w:rsidR="00BF5DCC">
        <w:rPr>
          <w:b/>
          <w:bCs/>
        </w:rPr>
        <w:t>OMMENTS OF OHMCONNECT</w:t>
      </w:r>
      <w:r w:rsidR="006F1C3F">
        <w:rPr>
          <w:b/>
          <w:bCs/>
        </w:rPr>
        <w:t xml:space="preserve"> ENERGY</w:t>
      </w:r>
    </w:p>
    <w:p w14:paraId="38946007" w14:textId="2F34AF01" w:rsidR="006F1C3F" w:rsidRDefault="006F1C3F" w:rsidP="00BF5DCC">
      <w:pPr>
        <w:jc w:val="center"/>
        <w:rPr>
          <w:b/>
          <w:bCs/>
        </w:rPr>
      </w:pPr>
    </w:p>
    <w:p w14:paraId="64DD0986" w14:textId="66562B68" w:rsidR="00514797" w:rsidRDefault="00514797" w:rsidP="00514797">
      <w:pPr>
        <w:spacing w:line="360" w:lineRule="auto"/>
      </w:pPr>
      <w:r>
        <w:t xml:space="preserve">OhmConnect Energy strongly supports the positions and concerns expressed by the </w:t>
      </w:r>
      <w:r>
        <w:rPr>
          <w:b/>
          <w:bCs/>
        </w:rPr>
        <w:t xml:space="preserve"> </w:t>
      </w:r>
      <w:r w:rsidRPr="00514797">
        <w:t>C</w:t>
      </w:r>
      <w:r w:rsidRPr="00514797">
        <w:t>oalition for Dispatchable Reliability Reserve Service</w:t>
      </w:r>
      <w:r w:rsidR="00857BDD">
        <w:t xml:space="preserve"> (“Coalition”)</w:t>
      </w:r>
      <w:r>
        <w:rPr>
          <w:b/>
          <w:bCs/>
        </w:rPr>
        <w:t xml:space="preserve"> </w:t>
      </w:r>
      <w:r>
        <w:t xml:space="preserve"> in </w:t>
      </w:r>
      <w:r>
        <w:t>Project</w:t>
      </w:r>
      <w:r>
        <w:t xml:space="preserve"> 52373.  OhmConnect is a new breed of </w:t>
      </w:r>
      <w:r>
        <w:t>r</w:t>
      </w:r>
      <w:r>
        <w:t xml:space="preserve">etail </w:t>
      </w:r>
      <w:r>
        <w:t>e</w:t>
      </w:r>
      <w:r>
        <w:t xml:space="preserve">lectric </w:t>
      </w:r>
      <w:r>
        <w:t>p</w:t>
      </w:r>
      <w:r>
        <w:t>rovider offering demand response as an integrated aspect of all its product offerings. The efforts of both the Commission and ERCOT to develop structural modifications to the market to provide long term reliability have been appropriate to date. That said, the proposals now seemingly favored by the Commission would mark a stark departure from the underlying principles that have made our wholesale and retail markets both a model to be imitated and a growth engine for the Texas economy</w:t>
      </w:r>
      <w:r>
        <w:t>.</w:t>
      </w:r>
    </w:p>
    <w:p w14:paraId="0EC357A3" w14:textId="77777777" w:rsidR="00514797" w:rsidRDefault="00514797" w:rsidP="00514797">
      <w:pPr>
        <w:spacing w:line="360" w:lineRule="auto"/>
      </w:pPr>
    </w:p>
    <w:p w14:paraId="7705C8A6" w14:textId="2BD90684" w:rsidR="00514797" w:rsidRDefault="00514797" w:rsidP="00514797">
      <w:pPr>
        <w:spacing w:line="360" w:lineRule="auto"/>
      </w:pPr>
      <w:r>
        <w:t>Our parent, OhmConnect Inc.</w:t>
      </w:r>
      <w:r w:rsidR="00857BDD">
        <w:t xml:space="preserve">, </w:t>
      </w:r>
      <w:r>
        <w:t xml:space="preserve">was founded on the premise that the markets need tools to help transition from a thermal generation environment to one largely powered by renewable energy. It was under this premise that OhmConnect Energy entered the Texas market as the first new REP to offer its customers the sophisticated but simple to use tools and economic incentives to reduce load in periods of high demand, bringing responsive load as </w:t>
      </w:r>
      <w:r w:rsidR="009F3E4B">
        <w:t xml:space="preserve">a complement to </w:t>
      </w:r>
      <w:r>
        <w:t xml:space="preserve">responsive generation. </w:t>
      </w:r>
      <w:r w:rsidR="009C59A2">
        <w:t xml:space="preserve"> </w:t>
      </w:r>
      <w:r>
        <w:t xml:space="preserve">As the filing from </w:t>
      </w:r>
      <w:r w:rsidR="009C59A2">
        <w:t xml:space="preserve">the </w:t>
      </w:r>
      <w:r w:rsidR="00DA2822" w:rsidRPr="00514797">
        <w:t xml:space="preserve">Coalition </w:t>
      </w:r>
      <w:r>
        <w:t xml:space="preserve">points out, the excessive use of RUC this past summer served to severely dampen the normal price response a healthy market would send. This had the dual disadvantage of eliminating the economic viability of large-scale DR and discouraging parties from building new, responsive thermal generation. </w:t>
      </w:r>
    </w:p>
    <w:p w14:paraId="33EF909A" w14:textId="77777777" w:rsidR="00514797" w:rsidRDefault="00514797" w:rsidP="00514797">
      <w:pPr>
        <w:spacing w:line="360" w:lineRule="auto"/>
      </w:pPr>
    </w:p>
    <w:p w14:paraId="088B2703" w14:textId="36C5C2A7" w:rsidR="00514797" w:rsidRDefault="00514797" w:rsidP="00514797">
      <w:pPr>
        <w:spacing w:line="360" w:lineRule="auto"/>
        <w:rPr>
          <w:color w:val="000000" w:themeColor="text1"/>
        </w:rPr>
      </w:pPr>
      <w:r>
        <w:rPr>
          <w:color w:val="000000" w:themeColor="text1"/>
        </w:rPr>
        <w:t xml:space="preserve">There are few, if any, historical examples of invasive price or aggressive regulatory intervention that yielded the outcomes envisioned by their proponents. Since the market opening in 2002, </w:t>
      </w:r>
      <w:r>
        <w:rPr>
          <w:color w:val="000000" w:themeColor="text1"/>
        </w:rPr>
        <w:lastRenderedPageBreak/>
        <w:t xml:space="preserve">ERCOT has proven  </w:t>
      </w:r>
      <w:r w:rsidR="00857BDD">
        <w:rPr>
          <w:color w:val="000000" w:themeColor="text1"/>
        </w:rPr>
        <w:t>a dynamic market that has responded to the constantly changing market conditions</w:t>
      </w:r>
      <w:r w:rsidR="00857BDD">
        <w:rPr>
          <w:color w:val="000000" w:themeColor="text1"/>
        </w:rPr>
        <w:t>.</w:t>
      </w:r>
      <w:r>
        <w:rPr>
          <w:color w:val="000000" w:themeColor="text1"/>
        </w:rPr>
        <w:t xml:space="preserve"> The one glaring exception was the winter storm of 2021 but, it is hard to imagine the cost of insuring against the recurrence of an event of that magnitude and even harder to justify the burden on the consuming public. The concept advocated by</w:t>
      </w:r>
      <w:r w:rsidR="00857BDD">
        <w:rPr>
          <w:color w:val="000000" w:themeColor="text1"/>
        </w:rPr>
        <w:t xml:space="preserve"> the Coalition</w:t>
      </w:r>
      <w:r>
        <w:rPr>
          <w:color w:val="000000" w:themeColor="text1"/>
        </w:rPr>
        <w:t xml:space="preserve"> and the IMM offers a credible solution to conditions the market is </w:t>
      </w:r>
      <w:r>
        <w:rPr>
          <w:b/>
          <w:bCs/>
          <w:i/>
          <w:iCs/>
          <w:color w:val="000000" w:themeColor="text1"/>
        </w:rPr>
        <w:t>likely</w:t>
      </w:r>
      <w:r>
        <w:rPr>
          <w:color w:val="000000" w:themeColor="text1"/>
        </w:rPr>
        <w:t xml:space="preserve"> to experience, and which can expand with the market over time. While it introduces new cost, it will be far lower than the P</w:t>
      </w:r>
      <w:r w:rsidR="00857BDD">
        <w:rPr>
          <w:color w:val="000000" w:themeColor="text1"/>
        </w:rPr>
        <w:t>CM</w:t>
      </w:r>
      <w:r>
        <w:rPr>
          <w:color w:val="000000" w:themeColor="text1"/>
        </w:rPr>
        <w:t xml:space="preserve"> or LSE Obligation promise and, importantly, it is </w:t>
      </w:r>
      <w:r w:rsidR="00857BDD">
        <w:rPr>
          <w:color w:val="000000" w:themeColor="text1"/>
        </w:rPr>
        <w:t xml:space="preserve">a </w:t>
      </w:r>
      <w:r>
        <w:rPr>
          <w:color w:val="000000" w:themeColor="text1"/>
        </w:rPr>
        <w:t xml:space="preserve">cost that can be managed by REPs without posing a mortal threat to the competitive market. </w:t>
      </w:r>
    </w:p>
    <w:p w14:paraId="5D644101" w14:textId="77777777" w:rsidR="00514797" w:rsidRDefault="00514797" w:rsidP="00514797">
      <w:pPr>
        <w:spacing w:line="360" w:lineRule="auto"/>
        <w:rPr>
          <w:color w:val="000000" w:themeColor="text1"/>
        </w:rPr>
      </w:pPr>
    </w:p>
    <w:p w14:paraId="6A1EB5ED" w14:textId="0754B85D" w:rsidR="00514797" w:rsidRDefault="00514797" w:rsidP="00514797">
      <w:pPr>
        <w:spacing w:line="360" w:lineRule="auto"/>
        <w:rPr>
          <w:rFonts w:cstheme="minorHAnsi"/>
          <w:color w:val="000000" w:themeColor="text1"/>
          <w:shd w:val="clear" w:color="auto" w:fill="FFFFFF"/>
        </w:rPr>
      </w:pPr>
      <w:r>
        <w:t xml:space="preserve">The PCM includes an administrative pricing structure that, as noted by </w:t>
      </w:r>
      <w:r w:rsidR="00857BDD">
        <w:t>the Coalition</w:t>
      </w:r>
      <w:r>
        <w:t xml:space="preserve"> in its filing, would distort market signals and lead to responses by market participants that could very well worsen rather than improve the outlook for long term reliability. Another classic example of administrative price intervention was the natural gas pricing tables created under the NGPA of 1978. Those forward prices led producers to heavily leverage their producing assets against the “certainty” of federally mandated prices. That behavior nearly crippled the oil and gas industry when that price certainty evaporated with the repeal of the NGPA in 1989. Enactment of either the PCM or the LSE Obligation or any  variation on the </w:t>
      </w:r>
      <w:r w:rsidR="00857BDD">
        <w:t>c</w:t>
      </w:r>
      <w:r>
        <w:t xml:space="preserve">apacity </w:t>
      </w:r>
      <w:r w:rsidR="00857BDD">
        <w:t>m</w:t>
      </w:r>
      <w:r>
        <w:t xml:space="preserve">arket constructs under consideration will deal an equally catastrophic blow to the competitive retail electric market and will do so in very short order. </w:t>
      </w:r>
    </w:p>
    <w:p w14:paraId="37363AE3" w14:textId="77777777" w:rsidR="00514797" w:rsidRDefault="00514797" w:rsidP="00514797">
      <w:pPr>
        <w:spacing w:line="360" w:lineRule="auto"/>
        <w:rPr>
          <w:rFonts w:cstheme="minorHAnsi"/>
          <w:color w:val="000000" w:themeColor="text1"/>
          <w:shd w:val="clear" w:color="auto" w:fill="FFFFFF"/>
        </w:rPr>
      </w:pPr>
    </w:p>
    <w:p w14:paraId="132A97A0" w14:textId="64079BEE" w:rsidR="006F1C3F" w:rsidRDefault="006F1C3F" w:rsidP="00BF5DCC">
      <w:pPr>
        <w:jc w:val="center"/>
        <w:rPr>
          <w:b/>
          <w:bCs/>
        </w:rPr>
      </w:pPr>
    </w:p>
    <w:p w14:paraId="22A2F67D" w14:textId="4F4769B4" w:rsidR="00493EF0" w:rsidRDefault="00493EF0" w:rsidP="00493EF0">
      <w:pPr>
        <w:spacing w:line="480" w:lineRule="auto"/>
        <w:ind w:left="5760"/>
      </w:pPr>
      <w:r>
        <w:t>Respectfully Submitted,</w:t>
      </w:r>
    </w:p>
    <w:p w14:paraId="111DBB57" w14:textId="09352035" w:rsidR="00493EF0" w:rsidRDefault="00493EF0" w:rsidP="00493EF0">
      <w:pPr>
        <w:spacing w:line="480" w:lineRule="auto"/>
        <w:ind w:left="5760"/>
      </w:pPr>
      <w:r>
        <w:rPr>
          <w:noProof/>
        </w:rPr>
        <w:drawing>
          <wp:inline distT="0" distB="0" distL="0" distR="0" wp14:anchorId="4EC9D357" wp14:editId="2FBD867A">
            <wp:extent cx="1344930" cy="65913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4930" cy="659130"/>
                    </a:xfrm>
                    <a:prstGeom prst="rect">
                      <a:avLst/>
                    </a:prstGeom>
                    <a:noFill/>
                    <a:ln>
                      <a:noFill/>
                    </a:ln>
                  </pic:spPr>
                </pic:pic>
              </a:graphicData>
            </a:graphic>
          </wp:inline>
        </w:drawing>
      </w:r>
    </w:p>
    <w:p w14:paraId="3CA8A02B" w14:textId="77777777" w:rsidR="00493EF0" w:rsidRDefault="00493EF0" w:rsidP="00493EF0">
      <w:pPr>
        <w:ind w:left="5760"/>
      </w:pPr>
      <w:r>
        <w:t>Don B. Whaley</w:t>
      </w:r>
    </w:p>
    <w:p w14:paraId="2C1567DD" w14:textId="30D0B19F" w:rsidR="00493EF0" w:rsidRDefault="00493EF0" w:rsidP="00493EF0">
      <w:pPr>
        <w:ind w:left="5760"/>
      </w:pPr>
      <w:r>
        <w:t xml:space="preserve">President, OhmConnect </w:t>
      </w:r>
      <w:r w:rsidR="006F1C3F">
        <w:t>Energy</w:t>
      </w:r>
    </w:p>
    <w:p w14:paraId="4C3E65BF" w14:textId="77777777" w:rsidR="00493EF0" w:rsidRDefault="00493EF0" w:rsidP="00493EF0">
      <w:pPr>
        <w:ind w:left="5760"/>
      </w:pPr>
      <w:r>
        <w:t>2100 West Loop South, Suite 900</w:t>
      </w:r>
    </w:p>
    <w:p w14:paraId="10D22FC6" w14:textId="513AFFEC" w:rsidR="00493EF0" w:rsidRDefault="00493EF0" w:rsidP="00493EF0">
      <w:pPr>
        <w:ind w:left="5760"/>
      </w:pPr>
      <w:r>
        <w:t>Hou</w:t>
      </w:r>
      <w:r w:rsidR="006F1C3F">
        <w:t>s</w:t>
      </w:r>
      <w:r>
        <w:t>ton, Texas 77027</w:t>
      </w:r>
    </w:p>
    <w:p w14:paraId="6A7F7B2B" w14:textId="77777777" w:rsidR="00493EF0" w:rsidRDefault="00493EF0" w:rsidP="00493EF0">
      <w:pPr>
        <w:ind w:left="5760"/>
      </w:pPr>
      <w:r>
        <w:t>713-202-3834</w:t>
      </w:r>
    </w:p>
    <w:p w14:paraId="55228DBD" w14:textId="0506F59B" w:rsidR="00493EF0" w:rsidRDefault="00D96251" w:rsidP="00493EF0">
      <w:pPr>
        <w:ind w:left="5760"/>
      </w:pPr>
      <w:hyperlink r:id="rId11" w:history="1">
        <w:r w:rsidR="00493EF0" w:rsidRPr="00046E60">
          <w:rPr>
            <w:rStyle w:val="Hyperlink"/>
          </w:rPr>
          <w:t>don@ohmconnect.com</w:t>
        </w:r>
      </w:hyperlink>
    </w:p>
    <w:sectPr w:rsidR="00493EF0" w:rsidSect="00A43AC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86856" w14:textId="77777777" w:rsidR="006E3A84" w:rsidRDefault="006E3A84" w:rsidP="00FF5BAE">
      <w:r>
        <w:separator/>
      </w:r>
    </w:p>
  </w:endnote>
  <w:endnote w:type="continuationSeparator" w:id="0">
    <w:p w14:paraId="2D9072C7" w14:textId="77777777" w:rsidR="006E3A84" w:rsidRDefault="006E3A84" w:rsidP="00FF5BAE">
      <w:r>
        <w:continuationSeparator/>
      </w:r>
    </w:p>
  </w:endnote>
  <w:endnote w:type="continuationNotice" w:id="1">
    <w:p w14:paraId="7146157F" w14:textId="77777777" w:rsidR="00E85F37" w:rsidRDefault="00E85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506CE" w14:textId="77777777" w:rsidR="006E3A84" w:rsidRDefault="006E3A84" w:rsidP="00FF5BAE">
      <w:r>
        <w:separator/>
      </w:r>
    </w:p>
  </w:footnote>
  <w:footnote w:type="continuationSeparator" w:id="0">
    <w:p w14:paraId="720C7604" w14:textId="77777777" w:rsidR="006E3A84" w:rsidRDefault="006E3A84" w:rsidP="00FF5BAE">
      <w:r>
        <w:continuationSeparator/>
      </w:r>
    </w:p>
  </w:footnote>
  <w:footnote w:type="continuationNotice" w:id="1">
    <w:p w14:paraId="7DEB8C96" w14:textId="77777777" w:rsidR="00E85F37" w:rsidRDefault="00E85F3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F2E"/>
    <w:rsid w:val="00004D0C"/>
    <w:rsid w:val="00020D04"/>
    <w:rsid w:val="00040823"/>
    <w:rsid w:val="00055116"/>
    <w:rsid w:val="000638F2"/>
    <w:rsid w:val="00065635"/>
    <w:rsid w:val="00067DA0"/>
    <w:rsid w:val="00076582"/>
    <w:rsid w:val="00082459"/>
    <w:rsid w:val="0009631C"/>
    <w:rsid w:val="000B2CE2"/>
    <w:rsid w:val="000E5A5C"/>
    <w:rsid w:val="000F2D1A"/>
    <w:rsid w:val="000F4BE4"/>
    <w:rsid w:val="00104BFE"/>
    <w:rsid w:val="00131348"/>
    <w:rsid w:val="00145860"/>
    <w:rsid w:val="00150F64"/>
    <w:rsid w:val="0018207B"/>
    <w:rsid w:val="001A57CA"/>
    <w:rsid w:val="001A6677"/>
    <w:rsid w:val="001B604E"/>
    <w:rsid w:val="001D48A2"/>
    <w:rsid w:val="00220797"/>
    <w:rsid w:val="0022738F"/>
    <w:rsid w:val="002609C2"/>
    <w:rsid w:val="002C0C2D"/>
    <w:rsid w:val="002E0714"/>
    <w:rsid w:val="002F6E93"/>
    <w:rsid w:val="002F74A6"/>
    <w:rsid w:val="0032137D"/>
    <w:rsid w:val="003935BC"/>
    <w:rsid w:val="003A17A3"/>
    <w:rsid w:val="003C35A7"/>
    <w:rsid w:val="003E3329"/>
    <w:rsid w:val="003E3B35"/>
    <w:rsid w:val="00404853"/>
    <w:rsid w:val="00411FAE"/>
    <w:rsid w:val="004123E3"/>
    <w:rsid w:val="004541EA"/>
    <w:rsid w:val="00483910"/>
    <w:rsid w:val="00491ACF"/>
    <w:rsid w:val="00493EF0"/>
    <w:rsid w:val="004A1003"/>
    <w:rsid w:val="004A249F"/>
    <w:rsid w:val="004B2E7C"/>
    <w:rsid w:val="004D2A09"/>
    <w:rsid w:val="004D3A97"/>
    <w:rsid w:val="004F06BA"/>
    <w:rsid w:val="004F17AC"/>
    <w:rsid w:val="00506BBE"/>
    <w:rsid w:val="00514797"/>
    <w:rsid w:val="00515DD5"/>
    <w:rsid w:val="0052607E"/>
    <w:rsid w:val="00595772"/>
    <w:rsid w:val="005A7333"/>
    <w:rsid w:val="005B0F66"/>
    <w:rsid w:val="005C33DE"/>
    <w:rsid w:val="005D48DE"/>
    <w:rsid w:val="005F62D4"/>
    <w:rsid w:val="005F697C"/>
    <w:rsid w:val="0060250A"/>
    <w:rsid w:val="00612D7A"/>
    <w:rsid w:val="00622F6F"/>
    <w:rsid w:val="00636350"/>
    <w:rsid w:val="0064453F"/>
    <w:rsid w:val="006507A3"/>
    <w:rsid w:val="00675990"/>
    <w:rsid w:val="0068004C"/>
    <w:rsid w:val="006912FA"/>
    <w:rsid w:val="006A32A3"/>
    <w:rsid w:val="006B0683"/>
    <w:rsid w:val="006B076E"/>
    <w:rsid w:val="006C1592"/>
    <w:rsid w:val="006D77AC"/>
    <w:rsid w:val="006E3A84"/>
    <w:rsid w:val="006E3E3B"/>
    <w:rsid w:val="006F1C3F"/>
    <w:rsid w:val="006F3BF7"/>
    <w:rsid w:val="006F7F2E"/>
    <w:rsid w:val="00742DF4"/>
    <w:rsid w:val="007859B4"/>
    <w:rsid w:val="0079407C"/>
    <w:rsid w:val="007B198A"/>
    <w:rsid w:val="007B50FD"/>
    <w:rsid w:val="007C6B54"/>
    <w:rsid w:val="007E7899"/>
    <w:rsid w:val="00821823"/>
    <w:rsid w:val="00837A5D"/>
    <w:rsid w:val="008450F9"/>
    <w:rsid w:val="00851892"/>
    <w:rsid w:val="00857BDD"/>
    <w:rsid w:val="008726E3"/>
    <w:rsid w:val="008908AF"/>
    <w:rsid w:val="008B073A"/>
    <w:rsid w:val="008B07AB"/>
    <w:rsid w:val="008E1B77"/>
    <w:rsid w:val="008F0F1B"/>
    <w:rsid w:val="008F52B8"/>
    <w:rsid w:val="00962B01"/>
    <w:rsid w:val="0097011E"/>
    <w:rsid w:val="009C59A2"/>
    <w:rsid w:val="009E4528"/>
    <w:rsid w:val="009F3E4B"/>
    <w:rsid w:val="009F4393"/>
    <w:rsid w:val="00A00346"/>
    <w:rsid w:val="00A376B1"/>
    <w:rsid w:val="00A43AC2"/>
    <w:rsid w:val="00A6629F"/>
    <w:rsid w:val="00A76D6C"/>
    <w:rsid w:val="00AC085D"/>
    <w:rsid w:val="00AF3909"/>
    <w:rsid w:val="00AF72F7"/>
    <w:rsid w:val="00B00F22"/>
    <w:rsid w:val="00B0306F"/>
    <w:rsid w:val="00B06043"/>
    <w:rsid w:val="00B7455C"/>
    <w:rsid w:val="00B80C56"/>
    <w:rsid w:val="00B852B3"/>
    <w:rsid w:val="00B92F60"/>
    <w:rsid w:val="00B94D2E"/>
    <w:rsid w:val="00B9581A"/>
    <w:rsid w:val="00BC5FBC"/>
    <w:rsid w:val="00BD25B4"/>
    <w:rsid w:val="00BD4523"/>
    <w:rsid w:val="00BE09C3"/>
    <w:rsid w:val="00BE1796"/>
    <w:rsid w:val="00BF2C9A"/>
    <w:rsid w:val="00BF59EB"/>
    <w:rsid w:val="00BF5DCC"/>
    <w:rsid w:val="00C052B2"/>
    <w:rsid w:val="00C431F5"/>
    <w:rsid w:val="00C64FBA"/>
    <w:rsid w:val="00CA229E"/>
    <w:rsid w:val="00CA2EF2"/>
    <w:rsid w:val="00CD348A"/>
    <w:rsid w:val="00CD5609"/>
    <w:rsid w:val="00CD67A7"/>
    <w:rsid w:val="00CE0369"/>
    <w:rsid w:val="00CE3DFF"/>
    <w:rsid w:val="00CE47BE"/>
    <w:rsid w:val="00D130F9"/>
    <w:rsid w:val="00D179F9"/>
    <w:rsid w:val="00D20418"/>
    <w:rsid w:val="00D23D31"/>
    <w:rsid w:val="00D31781"/>
    <w:rsid w:val="00D66A32"/>
    <w:rsid w:val="00D95C57"/>
    <w:rsid w:val="00DA2066"/>
    <w:rsid w:val="00DA2822"/>
    <w:rsid w:val="00DB5CE9"/>
    <w:rsid w:val="00DC7393"/>
    <w:rsid w:val="00DF40EA"/>
    <w:rsid w:val="00DF7C44"/>
    <w:rsid w:val="00E31EBC"/>
    <w:rsid w:val="00E72808"/>
    <w:rsid w:val="00E85F37"/>
    <w:rsid w:val="00EB2C74"/>
    <w:rsid w:val="00ED4D36"/>
    <w:rsid w:val="00F1011F"/>
    <w:rsid w:val="00F206B7"/>
    <w:rsid w:val="00F57596"/>
    <w:rsid w:val="00F64CEB"/>
    <w:rsid w:val="00F6553E"/>
    <w:rsid w:val="00FA1977"/>
    <w:rsid w:val="00FC54E1"/>
    <w:rsid w:val="00FE784B"/>
    <w:rsid w:val="00FF5BAE"/>
    <w:rsid w:val="00FF6A0B"/>
    <w:rsid w:val="00FF7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43B1D"/>
  <w14:defaultImageDpi w14:val="32767"/>
  <w15:chartTrackingRefBased/>
  <w15:docId w15:val="{C8642585-8B0D-4A3D-8251-9AF4EFC97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A1003"/>
    <w:rPr>
      <w:sz w:val="16"/>
      <w:szCs w:val="16"/>
    </w:rPr>
  </w:style>
  <w:style w:type="paragraph" w:styleId="CommentText">
    <w:name w:val="annotation text"/>
    <w:basedOn w:val="Normal"/>
    <w:link w:val="CommentTextChar"/>
    <w:uiPriority w:val="99"/>
    <w:semiHidden/>
    <w:unhideWhenUsed/>
    <w:rsid w:val="004A1003"/>
    <w:rPr>
      <w:sz w:val="20"/>
      <w:szCs w:val="20"/>
    </w:rPr>
  </w:style>
  <w:style w:type="character" w:customStyle="1" w:styleId="CommentTextChar">
    <w:name w:val="Comment Text Char"/>
    <w:basedOn w:val="DefaultParagraphFont"/>
    <w:link w:val="CommentText"/>
    <w:uiPriority w:val="99"/>
    <w:semiHidden/>
    <w:rsid w:val="004A1003"/>
    <w:rPr>
      <w:sz w:val="20"/>
      <w:szCs w:val="20"/>
    </w:rPr>
  </w:style>
  <w:style w:type="paragraph" w:styleId="CommentSubject">
    <w:name w:val="annotation subject"/>
    <w:basedOn w:val="CommentText"/>
    <w:next w:val="CommentText"/>
    <w:link w:val="CommentSubjectChar"/>
    <w:uiPriority w:val="99"/>
    <w:semiHidden/>
    <w:unhideWhenUsed/>
    <w:rsid w:val="004A1003"/>
    <w:rPr>
      <w:b/>
      <w:bCs/>
    </w:rPr>
  </w:style>
  <w:style w:type="character" w:customStyle="1" w:styleId="CommentSubjectChar">
    <w:name w:val="Comment Subject Char"/>
    <w:basedOn w:val="CommentTextChar"/>
    <w:link w:val="CommentSubject"/>
    <w:uiPriority w:val="99"/>
    <w:semiHidden/>
    <w:rsid w:val="004A1003"/>
    <w:rPr>
      <w:b/>
      <w:bCs/>
      <w:sz w:val="20"/>
      <w:szCs w:val="20"/>
    </w:rPr>
  </w:style>
  <w:style w:type="paragraph" w:styleId="FootnoteText">
    <w:name w:val="footnote text"/>
    <w:basedOn w:val="Normal"/>
    <w:link w:val="FootnoteTextChar"/>
    <w:uiPriority w:val="99"/>
    <w:semiHidden/>
    <w:unhideWhenUsed/>
    <w:rsid w:val="00FF5BAE"/>
    <w:rPr>
      <w:sz w:val="20"/>
      <w:szCs w:val="20"/>
    </w:rPr>
  </w:style>
  <w:style w:type="character" w:customStyle="1" w:styleId="FootnoteTextChar">
    <w:name w:val="Footnote Text Char"/>
    <w:basedOn w:val="DefaultParagraphFont"/>
    <w:link w:val="FootnoteText"/>
    <w:uiPriority w:val="99"/>
    <w:semiHidden/>
    <w:rsid w:val="00FF5BAE"/>
    <w:rPr>
      <w:sz w:val="20"/>
      <w:szCs w:val="20"/>
    </w:rPr>
  </w:style>
  <w:style w:type="character" w:styleId="FootnoteReference">
    <w:name w:val="footnote reference"/>
    <w:basedOn w:val="DefaultParagraphFont"/>
    <w:uiPriority w:val="99"/>
    <w:semiHidden/>
    <w:unhideWhenUsed/>
    <w:rsid w:val="00FF5BAE"/>
    <w:rPr>
      <w:vertAlign w:val="superscript"/>
    </w:rPr>
  </w:style>
  <w:style w:type="table" w:styleId="TableGrid">
    <w:name w:val="Table Grid"/>
    <w:basedOn w:val="TableNormal"/>
    <w:uiPriority w:val="39"/>
    <w:rsid w:val="003A17A3"/>
    <w:rPr>
      <w:rFonts w:ascii="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3AC2"/>
    <w:pPr>
      <w:tabs>
        <w:tab w:val="center" w:pos="4680"/>
        <w:tab w:val="right" w:pos="9360"/>
      </w:tabs>
    </w:pPr>
  </w:style>
  <w:style w:type="character" w:customStyle="1" w:styleId="HeaderChar">
    <w:name w:val="Header Char"/>
    <w:basedOn w:val="DefaultParagraphFont"/>
    <w:link w:val="Header"/>
    <w:uiPriority w:val="99"/>
    <w:rsid w:val="00A43AC2"/>
  </w:style>
  <w:style w:type="paragraph" w:styleId="Footer">
    <w:name w:val="footer"/>
    <w:basedOn w:val="Normal"/>
    <w:link w:val="FooterChar"/>
    <w:uiPriority w:val="99"/>
    <w:unhideWhenUsed/>
    <w:rsid w:val="00A43AC2"/>
    <w:pPr>
      <w:tabs>
        <w:tab w:val="center" w:pos="4680"/>
        <w:tab w:val="right" w:pos="9360"/>
      </w:tabs>
    </w:pPr>
  </w:style>
  <w:style w:type="character" w:customStyle="1" w:styleId="FooterChar">
    <w:name w:val="Footer Char"/>
    <w:basedOn w:val="DefaultParagraphFont"/>
    <w:link w:val="Footer"/>
    <w:uiPriority w:val="99"/>
    <w:rsid w:val="00A43AC2"/>
  </w:style>
  <w:style w:type="character" w:styleId="Hyperlink">
    <w:name w:val="Hyperlink"/>
    <w:basedOn w:val="DefaultParagraphFont"/>
    <w:uiPriority w:val="99"/>
    <w:unhideWhenUsed/>
    <w:rsid w:val="00493E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983107">
      <w:bodyDiv w:val="1"/>
      <w:marLeft w:val="0"/>
      <w:marRight w:val="0"/>
      <w:marTop w:val="0"/>
      <w:marBottom w:val="0"/>
      <w:divBdr>
        <w:top w:val="none" w:sz="0" w:space="0" w:color="auto"/>
        <w:left w:val="none" w:sz="0" w:space="0" w:color="auto"/>
        <w:bottom w:val="none" w:sz="0" w:space="0" w:color="auto"/>
        <w:right w:val="none" w:sz="0" w:space="0" w:color="auto"/>
      </w:divBdr>
    </w:div>
    <w:div w:id="1355377255">
      <w:bodyDiv w:val="1"/>
      <w:marLeft w:val="0"/>
      <w:marRight w:val="0"/>
      <w:marTop w:val="0"/>
      <w:marBottom w:val="0"/>
      <w:divBdr>
        <w:top w:val="none" w:sz="0" w:space="0" w:color="auto"/>
        <w:left w:val="none" w:sz="0" w:space="0" w:color="auto"/>
        <w:bottom w:val="none" w:sz="0" w:space="0" w:color="auto"/>
        <w:right w:val="none" w:sz="0" w:space="0" w:color="auto"/>
      </w:divBdr>
    </w:div>
    <w:div w:id="1368793325">
      <w:bodyDiv w:val="1"/>
      <w:marLeft w:val="0"/>
      <w:marRight w:val="0"/>
      <w:marTop w:val="0"/>
      <w:marBottom w:val="0"/>
      <w:divBdr>
        <w:top w:val="none" w:sz="0" w:space="0" w:color="auto"/>
        <w:left w:val="none" w:sz="0" w:space="0" w:color="auto"/>
        <w:bottom w:val="none" w:sz="0" w:space="0" w:color="auto"/>
        <w:right w:val="none" w:sz="0" w:space="0" w:color="auto"/>
      </w:divBdr>
    </w:div>
    <w:div w:id="1816338568">
      <w:bodyDiv w:val="1"/>
      <w:marLeft w:val="0"/>
      <w:marRight w:val="0"/>
      <w:marTop w:val="0"/>
      <w:marBottom w:val="0"/>
      <w:divBdr>
        <w:top w:val="none" w:sz="0" w:space="0" w:color="auto"/>
        <w:left w:val="none" w:sz="0" w:space="0" w:color="auto"/>
        <w:bottom w:val="none" w:sz="0" w:space="0" w:color="auto"/>
        <w:right w:val="none" w:sz="0" w:space="0" w:color="auto"/>
      </w:divBdr>
    </w:div>
    <w:div w:id="2012101318">
      <w:bodyDiv w:val="1"/>
      <w:marLeft w:val="0"/>
      <w:marRight w:val="0"/>
      <w:marTop w:val="0"/>
      <w:marBottom w:val="0"/>
      <w:divBdr>
        <w:top w:val="none" w:sz="0" w:space="0" w:color="auto"/>
        <w:left w:val="none" w:sz="0" w:space="0" w:color="auto"/>
        <w:bottom w:val="none" w:sz="0" w:space="0" w:color="auto"/>
        <w:right w:val="none" w:sz="0" w:space="0" w:color="auto"/>
      </w:divBdr>
    </w:div>
    <w:div w:id="202474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on@ohmconnect.com"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3D46833B6AC44DBCA437BB9B31D6EE" ma:contentTypeVersion="12" ma:contentTypeDescription="Create a new document." ma:contentTypeScope="" ma:versionID="098ad1388cfa47c64511f70a1fd307d2">
  <xsd:schema xmlns:xsd="http://www.w3.org/2001/XMLSchema" xmlns:xs="http://www.w3.org/2001/XMLSchema" xmlns:p="http://schemas.microsoft.com/office/2006/metadata/properties" xmlns:ns2="cc229701-985e-4ce6-bc2e-b901656d3d71" xmlns:ns3="d08e88e5-7fc3-4f0d-9149-76fae691ccef" targetNamespace="http://schemas.microsoft.com/office/2006/metadata/properties" ma:root="true" ma:fieldsID="6556eb63fbda4e7f0b178a275f818063" ns2:_="" ns3:_="">
    <xsd:import namespace="cc229701-985e-4ce6-bc2e-b901656d3d71"/>
    <xsd:import namespace="d08e88e5-7fc3-4f0d-9149-76fae691cc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29701-985e-4ce6-bc2e-b901656d3d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c7a241a-3cf5-4fe9-9168-f16206754ee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8e88e5-7fc3-4f0d-9149-76fae691cce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0abc9d2-76a1-45d2-bdde-8f9a494df78b}" ma:internalName="TaxCatchAll" ma:showField="CatchAllData" ma:web="d08e88e5-7fc3-4f0d-9149-76fae691c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229701-985e-4ce6-bc2e-b901656d3d71">
      <Terms xmlns="http://schemas.microsoft.com/office/infopath/2007/PartnerControls"/>
    </lcf76f155ced4ddcb4097134ff3c332f>
    <TaxCatchAll xmlns="d08e88e5-7fc3-4f0d-9149-76fae691ccef" xsi:nil="true"/>
  </documentManagement>
</p:properties>
</file>

<file path=customXml/itemProps1.xml><?xml version="1.0" encoding="utf-8"?>
<ds:datastoreItem xmlns:ds="http://schemas.openxmlformats.org/officeDocument/2006/customXml" ds:itemID="{CAED4881-046D-4804-85A0-DA43959B0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229701-985e-4ce6-bc2e-b901656d3d71"/>
    <ds:schemaRef ds:uri="d08e88e5-7fc3-4f0d-9149-76fae691c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178D61-DF50-4E98-A17C-BA5A2213DA24}">
  <ds:schemaRefs>
    <ds:schemaRef ds:uri="http://schemas.openxmlformats.org/officeDocument/2006/bibliography"/>
  </ds:schemaRefs>
</ds:datastoreItem>
</file>

<file path=customXml/itemProps3.xml><?xml version="1.0" encoding="utf-8"?>
<ds:datastoreItem xmlns:ds="http://schemas.openxmlformats.org/officeDocument/2006/customXml" ds:itemID="{7A4373BB-7DA8-4AB5-B5A0-D238F66F5734}">
  <ds:schemaRefs>
    <ds:schemaRef ds:uri="http://schemas.microsoft.com/sharepoint/v3/contenttype/forms"/>
  </ds:schemaRefs>
</ds:datastoreItem>
</file>

<file path=customXml/itemProps4.xml><?xml version="1.0" encoding="utf-8"?>
<ds:datastoreItem xmlns:ds="http://schemas.openxmlformats.org/officeDocument/2006/customXml" ds:itemID="{6E801520-19CB-4D41-A4C2-C242EFB60CA1}">
  <ds:schemaRefs>
    <ds:schemaRef ds:uri="http://schemas.microsoft.com/office/2006/metadata/properties"/>
    <ds:schemaRef ds:uri="http://schemas.microsoft.com/office/infopath/2007/PartnerControls"/>
    <ds:schemaRef ds:uri="cc229701-985e-4ce6-bc2e-b901656d3d71"/>
    <ds:schemaRef ds:uri="d08e88e5-7fc3-4f0d-9149-76fae691cce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 Whaley</dc:creator>
  <cp:keywords/>
  <dc:description/>
  <cp:lastModifiedBy>Suzi McClellan</cp:lastModifiedBy>
  <cp:revision>2</cp:revision>
  <cp:lastPrinted>2021-11-01T14:39:00Z</cp:lastPrinted>
  <dcterms:created xsi:type="dcterms:W3CDTF">2022-12-14T21:23:00Z</dcterms:created>
  <dcterms:modified xsi:type="dcterms:W3CDTF">2022-12-14T21:23:00Z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0x010100413D46833B6AC44DBCA437BB9B31D6EE</vt:lpwstr>
  </property>
  <property fmtid="{D5CDD505-2E9C-101B-9397-08002B2CF9AE}" pid="3" name="MediaServiceImageTags">
    <vt:lpwstr/>
  </property>
</Properties>
</file>